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i w:val="0"/>
          <w:caps w:val="0"/>
          <w:color w:val="000000"/>
          <w:spacing w:val="0"/>
          <w:sz w:val="36"/>
          <w:szCs w:val="36"/>
        </w:rPr>
      </w:pPr>
      <w:r>
        <w:rPr>
          <w:rFonts w:hint="eastAsia" w:ascii="微软雅黑" w:hAnsi="微软雅黑" w:eastAsia="微软雅黑" w:cs="微软雅黑"/>
          <w:i w:val="0"/>
          <w:caps w:val="0"/>
          <w:color w:val="000000"/>
          <w:spacing w:val="0"/>
          <w:kern w:val="0"/>
          <w:sz w:val="36"/>
          <w:szCs w:val="36"/>
          <w:bdr w:val="none" w:color="auto" w:sz="0" w:space="0"/>
          <w:shd w:val="clear" w:fill="FFFFFF"/>
          <w:lang w:val="en-US" w:eastAsia="zh-CN" w:bidi="ar"/>
        </w:rPr>
        <w:t>银行业积极布局服务乡村振兴攻坚战</w:t>
      </w:r>
    </w:p>
    <w:p>
      <w:pPr>
        <w:keepNext w:val="0"/>
        <w:keepLines w:val="0"/>
        <w:widowControl/>
        <w:suppressLineNumbers w:val="0"/>
        <w:pBdr>
          <w:top w:val="single" w:color="AEAEAE" w:sz="6" w:space="7"/>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AEAEAE"/>
          <w:spacing w:val="0"/>
          <w:sz w:val="18"/>
          <w:szCs w:val="18"/>
        </w:rPr>
      </w:pPr>
      <w:r>
        <w:rPr>
          <w:rFonts w:hint="eastAsia" w:ascii="微软雅黑" w:hAnsi="微软雅黑" w:eastAsia="微软雅黑" w:cs="微软雅黑"/>
          <w:i w:val="0"/>
          <w:caps w:val="0"/>
          <w:color w:val="AEAEAE"/>
          <w:spacing w:val="0"/>
          <w:kern w:val="0"/>
          <w:sz w:val="18"/>
          <w:szCs w:val="18"/>
          <w:bdr w:val="none" w:color="auto" w:sz="0" w:space="0"/>
          <w:shd w:val="clear" w:fill="FFFFFF"/>
          <w:lang w:val="en-US" w:eastAsia="zh-CN" w:bidi="ar"/>
        </w:rPr>
        <w:t>来源：金融时报-中国金融新闻网 作者：记者杜冰 发布日期：2019-02-14 07:13</w:t>
      </w:r>
    </w:p>
    <w:p>
      <w:pPr>
        <w:keepNext w:val="0"/>
        <w:keepLines w:val="0"/>
        <w:widowControl/>
        <w:suppressLineNumbers w:val="0"/>
        <w:pBdr>
          <w:top w:val="single" w:color="AEAEAE" w:sz="6"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AEAEAE"/>
          <w:spacing w:val="0"/>
          <w:sz w:val="18"/>
          <w:szCs w:val="18"/>
        </w:rPr>
      </w:pP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instrText xml:space="preserve"> HYPERLINK "http://www.financialnews.com.cn/gc/sd/201902/t20190214_154492.html" </w:instrText>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"http://www.financialnews.com.cn/gc/sd/201902/t20190214_154492.html" \o "分享到微信"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"http://www.financialnews.com.cn/gc/sd/201902/t20190214_154492.html" \o "分享到新浪微博"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"http://www.financialnews.com.cn/gc/sd/201902/t20190214_154492.html" \o "分享到腾讯微博"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"http://www.financialnews.com.cn/gc/sd/201902/t20190214_154492.html" \o "分享到QQ空间"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instrText xml:space="preserve"> HYPERLINK "http://www.financialnews.com.cn/gc/sd/201902/t20190214_154492.html" \o "分享到QQ好友" </w:instrText>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000000"/>
          <w:spacing w:val="0"/>
          <w:kern w:val="0"/>
          <w:sz w:val="18"/>
          <w:szCs w:val="18"/>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“各类金融机构要正确定位、明确分工、各司其职、协同配合，以满足乡村振兴战略实施过程中的扶贫性需求、开发性需求和商业性需求。” 中国人民大学重阳金融研究院副院长董希淼在接受《金融时报》记者采访时表示。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明确各类金融机构的性质与定位，是金融支持乡村振兴战略中的重要一环。央行等五部委日前联合印发《关于金融服务乡村振兴的指导意见》（以下简称《指导意见》），分别给政策性银行、商业银行以及农村中小金融机构进行了具体的目标任务分配。专家认为，这有利于确保各类金融机构发挥各自业务资源优势，有效加大对乡村振兴的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政策性银行：着力满足农村基础设施建设等开发性需求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《指导意见》强调，鼓励开发性、政策性金融机构在业务范围内为乡村振兴提供中长期信贷支持。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金融服务乡村振兴战略，突出的问题是要解决好收益风险不匹配的矛盾。”董希淼分析认为，这决定了金融服务乡村振兴战略过程中的开发性金融需求占了主要部分，同时要求服务农村的政策性与合作性金融机构不应过度关注盈利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“对于开发性需求，应该进一步发挥政策性金融在乡村振兴战略中的作用，特别是不断完善农村地区基础设施。”董希淼认为。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金融时报》记者了解到，国开行在年初对此已作了重点部署。国开行党委书记、董事长赵欢日前在该行党委会上部署具体工作时要求，国开行要加大对“三农”业务支持保障和资源倾斜力度，提升开发性金融服务水平，包括把服务“三农”发展作为重点工作予以安排和部署；加大对“三农”领域的中长期信贷支持力度；优先考虑“三农”金融服务需求，加强政策创新与支持引导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推进农村人居环境整治，补齐农村基础设施和公共服务短板。支持村容村貌整治提升工程、农村基础设施建设和节水供水、饮水安全等工程，支持农村地区宽带网络和移动通信网络覆盖，缩小城乡数字化差距。”赵欢特别提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农发行在该行2019年度工作会议中提出，今年农发行将适应形势变化，把握重要战略机遇期，深入推进粮食市场化收购，全力服务乡村振兴、脱贫攻坚和涉农小微企业发展，进一步发挥农业政策性金融在稳增长、调结构中的重要作用，打造服务乡村振兴品牌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从数据来看，农发行在多措并举服务国家粮食安全、聚焦精准助力脱贫攻坚、引领支持农业现代化等方面迈出了坚实步伐。2018年，农发行累放贷款1.8万亿元，年末贷款余额5.14万亿元，同比增长9.7%。其中，累放粮棉油收购贷款2457亿元、精准扶贫贷款3893亿元、农村基础设施贷款7874亿元、农业现代化贷款年末余额超过2000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商业银行：发挥各自优势加大县域信贷投放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在乡村振兴工作中，金融体系的完善和金融服务的支持，越来越成为关系全局的重要方面。专家分析认为，当前我国对农村的支持力度虽然不断提升，但是农村信贷对农业发展的支持力度依然不足，农户贷款依然受到较多限制，农村中的信贷结构需要进一步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央行发布的数据显示，截至2018年年末，涉农贷款同比增长5.6%，增速比上年末低4.1个百分点；与2018年各项贷款余额同比增速12.6%相比，二者相差7个百分点。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目前来看，服务乡村振兴战略尤其离不开商业银行的信贷资金支持。此次《指导意见》特别要求商业银行加大县域信贷投放，其中单独提及农行及邮储银行，为其部署了具体任务目标。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对此，农行相关负责人在接受《金融时报》记者采访时表示：“农行将深入贯彻落实《指导意见》要求，推动金融扶贫工作再上新台阶；在2018年实现良好开局基础上，深入实施服务乡村振兴‘七大行动’，确保取得实效；积极推进互联网金融服务‘三农’一号工程提质上量，利用现代科技手段服务乡村振兴，努力成为服务乡村振兴的主力银行、领军银行，为乡村振兴贡献农行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邮储银行将认真贯彻落实《指导意见》有关要求，坚持服务‘三农’、中小企业和社区的市场定位，针对我国城乡发展不平衡、乡村发展不充分的主要矛盾，全力服务乡村振兴战略。”邮储银行相关负责人表示，下一阶段，该行将结合自身实际，充分发挥点多面广、队伍深入乡村的特色和优势，切实加大乡村振兴支持力度，提高“三农”服务能力，着力推进服务乡村振兴“五大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从数据来看，近年来，两家银行在服务“三农”方面业绩表现不俗。截至2018年9月末，农行县域发放贷款和垫款总额39447.39亿元，增长10.55%；截至2018年年末，邮储银行涉农贷款余额1.2万亿元，净增超千亿元。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协同发力：强化产品与服务创新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业内专家分析认为，实现金融产品与服务方式的多样化创新，是银行业下一步服务乡村振兴的主要着力点。对此，《指导意见》也特别要求，“强化金融产品和服务方式创新，更好满足乡村振兴多样化融资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《金融时报》记者了解到，近年来，多家银行在创新产品与服务方式方面有所探索，取得了一定成效。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以邮储银行为例，该行自成立之初，从支农支小做起，开发了纯信用、无抵押的小额贷款产品，并专注于此业务的发展，笔均仅7万余元。经过10余年的发展，该行“三农”金融业务提质扩面，已覆盖所有涉农主体和“三农”领域。针对现代农业发展，该行推出家庭农场及专业大户贷款、农民专业合作社贷款，推进“1+N+X”农业产业链金融服务，积极跟进农村产权制度改革，开发了农村承包土地经营权抵押贷款和农民住房财产权抵押贷款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“我们力求打造满足供给端和需求端的全产业链‘三农’金融产品，构建邮储银行‘三农’服务生态圈。”邮储银行相关负责人表示。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值得关注的是，《指导意见》还特别提到“推动新技术在农村金融领域的应用推广”，包括积极运用大数据、区块链等技术。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0" w:afterAutospacing="0" w:line="30" w:lineRule="atLeast"/>
        <w:ind w:left="0" w:right="0"/>
        <w:jc w:val="both"/>
        <w:rPr>
          <w:rFonts w:hint="eastAsia" w:ascii="宋体" w:hAnsi="宋体" w:eastAsia="宋体" w:cs="宋体"/>
          <w:sz w:val="21"/>
          <w:szCs w:val="21"/>
        </w:rPr>
      </w:pPr>
      <w:r>
        <w:rPr>
          <w:rFonts w:hint="eastAsia" w:ascii="宋体" w:hAnsi="宋体" w:eastAsia="宋体" w:cs="宋体"/>
          <w:i w:val="0"/>
          <w:caps w:val="0"/>
          <w:color w:val="000000"/>
          <w:spacing w:val="0"/>
          <w:sz w:val="21"/>
          <w:szCs w:val="21"/>
          <w:bdr w:val="none" w:color="auto" w:sz="0" w:space="0"/>
          <w:shd w:val="clear" w:fill="FFFFFF"/>
        </w:rPr>
        <w:t>　　农行在此方面已进行了积极探索，该行在2017年初提出了实施互联网金融服务“三农”“一号工程”重要战略部署。目前，农行已基本搭建起贴合涉农产业链的农企、农户生产经营活动线上化场景，即涵盖网络融资、网络支付结算和电商金融三大核心模块的综合化金融服务平台——“惠农e通”平台。</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341872"/>
    <w:rsid w:val="733418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2019-02-14T03:12:00Z</dcterms:created>
  <dc:creator>qian</dc:creator>
  <cp:lastModifiedBy>qian</cp:lastModifiedBy>
  <dcterms:modified xsi:type="dcterms:W3CDTF">2019-02-14T03:13:12Z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