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b w:val="0"/>
          <w:i w:val="0"/>
          <w:caps w:val="0"/>
          <w:color w:val="000000"/>
          <w:spacing w:val="0"/>
          <w:sz w:val="28"/>
          <w:szCs w:val="28"/>
        </w:rPr>
      </w:pPr>
      <w:bookmarkStart w:id="0" w:name="_GoBack"/>
      <w:r>
        <w:rPr>
          <w:rFonts w:hint="eastAsia" w:ascii="微软雅黑" w:hAnsi="微软雅黑" w:eastAsia="微软雅黑" w:cs="微软雅黑"/>
          <w:b w:val="0"/>
          <w:i w:val="0"/>
          <w:caps w:val="0"/>
          <w:color w:val="000000"/>
          <w:spacing w:val="0"/>
          <w:kern w:val="0"/>
          <w:sz w:val="28"/>
          <w:szCs w:val="28"/>
          <w:bdr w:val="none" w:color="auto" w:sz="0" w:space="0"/>
          <w:shd w:val="clear" w:fill="FFFFFF"/>
          <w:lang w:val="en-US" w:eastAsia="zh-CN" w:bidi="ar"/>
        </w:rPr>
        <w:t>银保监会：支持基础设施领域补短板 推动有效投资稳定增长</w:t>
      </w:r>
    </w:p>
    <w:bookmarkEnd w:id="0"/>
    <w:p>
      <w:pPr>
        <w:keepNext w:val="0"/>
        <w:keepLines w:val="0"/>
        <w:widowControl/>
        <w:suppressLineNumbers w:val="0"/>
        <w:pBdr>
          <w:top w:val="single" w:color="AEAEAE" w:sz="6" w:space="7"/>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AEAEAE"/>
          <w:spacing w:val="0"/>
          <w:sz w:val="18"/>
          <w:szCs w:val="18"/>
        </w:rPr>
      </w:pPr>
      <w:r>
        <w:rPr>
          <w:rFonts w:hint="eastAsia" w:ascii="微软雅黑" w:hAnsi="微软雅黑" w:eastAsia="微软雅黑" w:cs="微软雅黑"/>
          <w:b w:val="0"/>
          <w:i w:val="0"/>
          <w:caps w:val="0"/>
          <w:color w:val="AEAEAE"/>
          <w:spacing w:val="0"/>
          <w:kern w:val="0"/>
          <w:sz w:val="18"/>
          <w:szCs w:val="18"/>
          <w:bdr w:val="none" w:color="auto" w:sz="0" w:space="0"/>
          <w:shd w:val="clear" w:fill="FFFFFF"/>
          <w:lang w:val="en-US" w:eastAsia="zh-CN" w:bidi="ar"/>
        </w:rPr>
        <w:t>来源：金融时报-中国金融新闻网 作者：记者 张末冬 发布日期：2018-08-20 07:27</w:t>
      </w:r>
    </w:p>
    <w:p>
      <w:pPr>
        <w:keepNext w:val="0"/>
        <w:keepLines w:val="0"/>
        <w:widowControl/>
        <w:suppressLineNumbers w:val="0"/>
        <w:pBdr>
          <w:top w:val="single" w:color="AEAEAE" w:sz="6"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AEAEAE"/>
          <w:spacing w:val="0"/>
          <w:sz w:val="18"/>
          <w:szCs w:val="18"/>
        </w:rPr>
      </w:pPr>
      <w:r>
        <w:rPr>
          <w:rFonts w:hint="eastAsia" w:ascii="微软雅黑" w:hAnsi="微软雅黑" w:eastAsia="微软雅黑" w:cs="微软雅黑"/>
          <w:b w:val="0"/>
          <w:i w:val="0"/>
          <w:caps w:val="0"/>
          <w:color w:val="333333"/>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333333"/>
          <w:spacing w:val="0"/>
          <w:kern w:val="0"/>
          <w:sz w:val="18"/>
          <w:szCs w:val="18"/>
          <w:u w:val="none"/>
          <w:bdr w:val="none" w:color="auto" w:sz="0" w:space="0"/>
          <w:shd w:val="clear" w:fill="FFFFFF"/>
          <w:lang w:val="en-US" w:eastAsia="zh-CN" w:bidi="ar"/>
        </w:rPr>
        <w:instrText xml:space="preserve"> HYPERLINK "http://www.financialnews.com.cn/jg/dt/201808/t20180820_144363.html" </w:instrText>
      </w:r>
      <w:r>
        <w:rPr>
          <w:rFonts w:hint="eastAsia" w:ascii="微软雅黑" w:hAnsi="微软雅黑" w:eastAsia="微软雅黑" w:cs="微软雅黑"/>
          <w:b w:val="0"/>
          <w:i w:val="0"/>
          <w:caps w:val="0"/>
          <w:color w:val="333333"/>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333333"/>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instrText xml:space="preserve"> HYPERLINK "http://www.financialnews.com.cn/jg/dt/201808/t20180820_144363.html" \o "分享到微信" </w:instrText>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instrText xml:space="preserve"> HYPERLINK "http://www.financialnews.com.cn/jg/dt/201808/t20180820_144363.html" \o "分享到新浪微博" </w:instrText>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instrText xml:space="preserve"> HYPERLINK "http://www.financialnews.com.cn/jg/dt/201808/t20180820_144363.html" \o "分享到腾讯微博" </w:instrText>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instrText xml:space="preserve"> HYPERLINK "http://www.financialnews.com.cn/jg/dt/201808/t20180820_144363.html" \o "分享到QQ空间" </w:instrText>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instrText xml:space="preserve"> HYPERLINK "http://www.financialnews.com.cn/jg/dt/201808/t20180820_144363.html" \o "分享到QQ好友" </w:instrText>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中国银保监会办公厅日前下发了《关于进一步做好信贷工作 提升服务实体经济质效的通知》（以下简称《通知》），要求银行保险业支持基础设施领域补短板，推动有效投资稳定增长。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通知》指出，为深入贯彻党中央、国务院决策部署，把防范化解金融风险和服务实体经济更好结合起来，在坚决打好防范化解金融风险攻坚战的同时，必须着力疏通货币信贷传导机制，提升金融服务实体经济质效，推动稳就业、稳金融、稳外贸、稳外资、稳投资、稳预期，实现金融与实体经济良性循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通知》要求，在不增加地方政府隐性债务的前提下，加大对资本金到位、运作规范的基础设施补短板项目的信贷投放。保险资金要发挥长期投资优势，通过债权、股权、股债结合、基金等多种形式，积极服务国家重大战略、重点工程和重要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《通知》要求，积极配合地方政府对在建基础设施项目的建设情况和融资需求进行调查分析，按照市场化原则满足融资平台公司的合理融资需求，对必要的在建项目要避免资金断供、工程烂尾。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通知》要求，进一步疏通货币政策传导机制，满足实体经济有效融资需求。根据企业生产、建设、销售的周期和行业特征，合理确定贷款期限、还款方式，适当提高中长期贷款比例，合理确定考核指标，避免贷款在同一时间特别是月末、季末集中到期而引发企业资金紧张。对符合授信条件但遇到暂时经营困难的企业，不应盲目抽贷、断贷。对成长型先进制造业企业，要创新担保和融资方式，在资金供给、贷款利率方面给予适当倾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通知》还要求大力发展普惠金融，强化小微企业、“三农”、民营企业等领域金融服务；积极发展消费金融，增强消费对经济的拉动作用；做好进出口企业金融服务，对受国际市场冲击较大、遇到暂时困难但仍有发展前景的重点优质企业，在资金安排上予以适当倾斜；规范经营行为，严禁附加不合理贷款条件；深化体制机制改革，加强服务实体经济能力建设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554069"/>
    <w:rsid w:val="2F5540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2018-08-20T02:22:00Z</dcterms:created>
  <dc:creator>qian</dc:creator>
  <cp:lastModifiedBy>qian</cp:lastModifiedBy>
  <dcterms:modified xsi:type="dcterms:W3CDTF">2018-08-20T02:24:11Z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