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01" w:type="dxa"/>
        <w:jc w:val="center"/>
        <w:tblCellSpacing w:w="0" w:type="dxa"/>
        <w:tblInd w:w="-12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01" w:type="dxa"/>
            <w:shd w:val="clear" w:color="auto" w:fill="FFFFFF"/>
            <w:vAlign w:val="center"/>
          </w:tcPr>
          <w:tbl>
            <w:tblPr>
              <w:tblW w:w="10800" w:type="dxa"/>
              <w:jc w:val="center"/>
              <w:tblCellSpacing w:w="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0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  <w:jc w:val="center"/>
              </w:trPr>
              <w:tc>
                <w:tcPr>
                  <w:tcW w:w="108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/>
                    <w:ind w:left="0" w:right="0"/>
                    <w:jc w:val="center"/>
                    <w:textAlignment w:val="center"/>
                    <w:rPr>
                      <w:rFonts w:ascii="微软雅黑" w:hAnsi="微软雅黑" w:eastAsia="微软雅黑" w:cs="微软雅黑"/>
                      <w:color w:val="000000"/>
                      <w:spacing w:val="15"/>
                      <w:sz w:val="36"/>
                      <w:szCs w:val="36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pacing w:val="15"/>
                      <w:kern w:val="0"/>
                      <w:sz w:val="36"/>
                      <w:szCs w:val="36"/>
                      <w:bdr w:val="none" w:color="auto" w:sz="0" w:space="0"/>
                      <w:lang w:val="en-US" w:eastAsia="zh-CN" w:bidi="ar"/>
                    </w:rPr>
                    <w:t>稳金融，更好服务实体经济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0" w:hRule="atLeast"/>
                <w:tblCellSpacing w:w="0" w:type="dxa"/>
                <w:jc w:val="center"/>
              </w:trPr>
              <w:tc>
                <w:tcPr>
                  <w:tcW w:w="1080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color w:val="000000"/>
                      <w:spacing w:val="15"/>
                      <w:sz w:val="24"/>
                      <w:szCs w:val="24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0" w:hRule="atLeast"/>
                <w:tblCellSpacing w:w="0" w:type="dxa"/>
                <w:jc w:val="center"/>
              </w:trPr>
              <w:tc>
                <w:tcPr>
                  <w:tcW w:w="10800" w:type="dxa"/>
                  <w:shd w:val="clear" w:color="auto" w:fill="E7E7E7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666666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  <w:jc w:val="center"/>
              </w:trPr>
              <w:tc>
                <w:tcPr>
                  <w:tcW w:w="10800" w:type="dxa"/>
                  <w:shd w:val="clear"/>
                  <w:tcMar>
                    <w:top w:w="150" w:type="dxa"/>
                  </w:tcMar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60" w:lineRule="atLeast"/>
                    <w:ind w:left="0" w:right="0"/>
                    <w:jc w:val="center"/>
                    <w:textAlignment w:val="top"/>
                    <w:rPr>
                      <w:rFonts w:hint="eastAsia" w:ascii="微软雅黑" w:hAnsi="微软雅黑" w:eastAsia="微软雅黑" w:cs="微软雅黑"/>
                      <w:color w:val="000000"/>
                      <w:spacing w:val="15"/>
                      <w:sz w:val="21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000000"/>
                      <w:spacing w:val="15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2018年08月07日</w:t>
                  </w:r>
                </w:p>
              </w:tc>
            </w:tr>
          </w:tbl>
          <w:p>
            <w:pPr>
              <w:spacing w:before="0" w:beforeAutospacing="1" w:after="0" w:afterAutospacing="1" w:line="360" w:lineRule="atLeast"/>
              <w:ind w:left="0" w:right="0"/>
              <w:jc w:val="center"/>
              <w:textAlignment w:val="top"/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08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808080"/>
                <w:spacing w:val="15"/>
                <w:sz w:val="22"/>
                <w:szCs w:val="22"/>
                <w:bdr w:val="none" w:color="auto" w:sz="0" w:space="0"/>
              </w:rPr>
              <w:t>转载：人民日报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上半年对实体经济发放的人民币贷款增加8.76万亿元，同比增5548亿元——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稳金融，更好服务实体经济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今年以来，国内金融形势总体向好，宏观杠杆率趋于稳定，金融机构合规意识增强，防范化解金融风险取得初步成效。上半年对实体经济发放的人民币贷款增加8.76万亿元，比上年同期多增5548亿元。金融是现代经济的核心，也是实体经济的血脉，作为7月31日中共中央政治局会议提出的“六稳”工作之一，稳金融在下半年如何顺利推进？金融活水怎样更好地滋润实体经济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对重点领域和薄弱环节加大支持，金融服务实体经济能力提升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浙江嘉兴闻泰通讯股份有限公司专门生产销售移动电话及其配件、移动通信交换设备等，目前每年手机制造出货量达6550万台。“今年，银行对我们这类制造业企业的支持很给力，公司获得5.14亿元贷款，比去年增加了4500万元。”公司副董事长肖学兵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越来越多的银行资金流向以制造业为代表的实体经济，对重点领域和薄弱环节支持力度显著增强。银保监会督促银行业金融机构优化贷款结构，增加对战略性新兴产业的信贷支持，同时降低实体经济融资成本，压缩通道业务，缩短融资链条。推动银行加大不良贷款处置力度，腾出信贷空间更好助力经济发展。5月末，银行业金融机构本外币资产250万亿元，同比增长7.2%，本外币贷款133万亿元，同比增长12%，用于小微企业的贷款同比增长14.2%。保险业服务经济社会的能力也不断提升，5月末保险业总资产17.5万亿元，保险资金运用余额15.5万亿元，其中为实体经济提供融资余额超过10万亿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为实体经济服务是金融的天职，也是防范金融风险、确保金融自身健康发展的根本举措。“年初以来，人民银行继续实施稳健中性的货币政策，加强预调微调和预期管理，为供给侧结构性改革和高质量发展营造适宜的货币金融环境。总体看，当前货币信贷和社会融资规模适度增长，市场利率运行平稳。”人民银行调查统计司司长阮健弘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小微金融服务加大升级力度。上半年人民银行三次定向降准，引导金融机构将新增信贷资金更多投向小微企业，近期人民银行等五部委又出台了《关于进一步深化小微企业金融服务的意见》，精准聚焦的措施初见成效。6月末，单户授信500万以下的小微企业贷款（含个体工商户和小微企业主）由以往的低增长转为趋势性回升，余额7.35万亿元，同比增长15.6%，增速比上年末高5.8个百分点，上半年增加5743亿元，接近去年全年的增量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整治市场乱象成效显现。以银行业为例，截至5月末，在保持12%以上信贷增速的同时，同业资产和非债券投资同比各降2.6%和7%，同业理财在上年减少3.4万亿元的基础上，继续缩减1.2万亿元，已累计削减2/3以上。经过半年多来的重拳出击，银行业各类市场乱象得到初步遏制，高风险金融业务持续收缩，金融市场秩序得到修复，呈现稳健运行的良好态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未来杠杆率将总体趋稳，保持流动性合理充裕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上半年社会融资规模增速出现回落。“资金紧不紧”“借钱贵不贵”，是备受市场关注的热点话题之一。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工银国际首席经济学家程实说，上半年，配合金融去杠杆的监管基调，货币政策边际趋紧，广义货币增速和社会融资规模增速中枢下移。6月末以来，流动性供给从“合理稳定”调整为“合理充裕”，这是一个比较积极的信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自去年起，我国宏观杠杆率上升势头明显放缓。今年一季度杠杆率增幅比去年同期收窄1.1个百分点。去杠杆成效初显。“推升杠杆率的因素正在出现重要变化。”中国发展研究基金会副理事长刘世锦认为，我国由高速增长转向高质量发展，更多地关注就业、企业盈利、发展的稳定性和可持续性等指标，不应再通过人为抬高杠杆率追求过高增速，这将在宏观上带动杠杆率下行。同时，金融监管日趋加强，金融市场逐步完善，影子银行等导致杠杆率上升的状况会有较大改变；地方政府债务约束强化，特别是对地方政府隐性债务的清理、整顿和规范力度加大；去产能取得重要进展，供求缺口收缩，企业盈利能力和可持续性增强。“在上述因素的共同作用下，我国杠杆率将总体趋稳，并逐步有序降低。”刘世锦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把防范化解金融风险和服务实体经济更好结合起来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向好源于稳，求进基于稳。稳金融，重点要抓好哪几件事？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坚持实施稳健的货币政策，把好货币供给总闸门——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人民银行近日召开的2018年下半年工作电视会议提出，加强预调微调，保持流动性合理充裕。鼓励金融机构加大支持实体经济的力度，降低实体经济融资成本。交通银行首席经济学家连平认为，在当前和今后一个阶段，大幅宽松和大幅收紧都不应成为货币政策的选项，而应在总体上保持基本稳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在流动性总量保持合理充裕的条件下，面对实体经济融资难、融资贵问题，必须更加重视打通货币政策传导机制。程实认为，在宏观层面，积极的财政政策和精准的产业政策要适时发力，以缓解市场避险情绪，明确经济长期机遇，增强信贷投放意愿，推动短贷向长贷转换；在微观层面，要平衡风险防范与激励相容，提高基层业务人员的动力和能力，使信贷资金向补短板领域积极流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把防范化解金融风险和服务实体经济更好结合起来——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中国人民大学重阳金融研究院高级研究员董希淼说，金融管理部门要坚持防风险的决心和定力，也要把握好严监管、强监管的力度和节奏，坚决防范“处置风险的风险”。此外，应充分考虑金融市场的敏感性和外部性，实行区别对待，在结构性去杠杆过程中保持金融市场稳定，保持服务实体经济力度不减，并加速提升为实体经济服务的能力和水平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防风险的方向没有改变，作为防风险的重要内容，去杠杆的基调也没有大的转变。人民银行货币政策委员会委员马骏认为，在未来一段时间内，监管层将更多注重结构性去杠杆，避免过度使用在总量层面“一刀切”的去杠杆措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结构性去杠杆需稳字当头，过快过慢都不行。新时代证券首席经济学家潘向东认为，既要保持政策的稳定，避免因政策过度宽松或过度收紧而加剧经济风险，协调好各项政策出台时机，又要借力深化改革去杠杆，比如加快国有企业改革、大力发展直接融资、完善财税制度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继续改善小微企业金融服务，将各项政策举措落到实处——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小微企业是经济新动能培育的重要源泉，在推动经济增长、促进就业增加、激发创新活力等方面发挥着不可或缺的作用。银保监会主席郭树清近日表示，金融机构要加快构建有效调动基层积极性的激励机制，积极推动降低小微企业融资成本。大中型银行要用足用好“头雁效应”，加大信贷投放力度，合理确定普惠型小微贷款价格，带动银行业金融机构小微企业实际贷款利率明显下降。做好分类施策，为发展暂时遇到困难的企业“雪中送炭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15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15"/>
                <w:sz w:val="22"/>
                <w:szCs w:val="22"/>
                <w:bdr w:val="none" w:color="auto" w:sz="0" w:space="0"/>
              </w:rPr>
              <w:t>　　人民银行行长易纲认为，小微企业金融服务是一项系统性工程，亟须全社会共同努力。对于小微企业，要增加贷款户数，扩大贷款投放，适度降低其贷款成本，并有效控制风险，建立为小微企业贷款的商业可持续长效机制，坚持不懈把金融服务小微企业工作推向深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A19DF"/>
    <w:rsid w:val="1CCA19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a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2018-08-09T01:20:00Z</dcterms:created>
  <dc:creator>qian</dc:creator>
  <cp:lastModifiedBy>qian</cp:lastModifiedBy>
  <dcterms:modified xsi:type="dcterms:W3CDTF">2018-08-09T01:21:42Z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