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DDDDDD" w:sz="6" w:space="3"/>
          <w:right w:val="none" w:color="auto" w:sz="0" w:space="0"/>
        </w:pBdr>
        <w:spacing w:before="0" w:beforeAutospacing="0" w:after="0" w:afterAutospacing="0"/>
        <w:ind w:left="0" w:right="0" w:firstLine="0"/>
        <w:jc w:val="center"/>
        <w:rPr>
          <w:rFonts w:ascii="Tahoma" w:hAnsi="Tahoma" w:eastAsia="Tahoma" w:cs="Tahoma"/>
          <w:i w:val="0"/>
          <w:caps w:val="0"/>
          <w:color w:val="1F376D"/>
          <w:spacing w:val="0"/>
          <w:sz w:val="27"/>
          <w:szCs w:val="27"/>
        </w:rPr>
      </w:pPr>
      <w:r>
        <w:rPr>
          <w:rFonts w:hint="default" w:ascii="Tahoma" w:hAnsi="Tahoma" w:eastAsia="Tahoma" w:cs="Tahoma"/>
          <w:i w:val="0"/>
          <w:caps w:val="0"/>
          <w:color w:val="1F376D"/>
          <w:spacing w:val="0"/>
          <w:sz w:val="27"/>
          <w:szCs w:val="27"/>
          <w:bdr w:val="none" w:color="auto" w:sz="0" w:space="0"/>
        </w:rPr>
        <w:t>下半年国资国企改革将扩围升级 央企集团层面推混改</w:t>
      </w:r>
    </w:p>
    <w:p>
      <w:pPr>
        <w:pStyle w:val="4"/>
        <w:keepNext w:val="0"/>
        <w:keepLines w:val="0"/>
        <w:widowControl/>
        <w:suppressLineNumbers w:val="0"/>
        <w:spacing w:before="75" w:beforeAutospacing="0" w:after="300" w:afterAutospacing="0"/>
        <w:ind w:left="0" w:right="0" w:firstLine="0"/>
        <w:jc w:val="center"/>
        <w:rPr>
          <w:rFonts w:hint="default" w:ascii="Tahoma" w:hAnsi="Tahoma" w:eastAsia="Tahoma" w:cs="Tahoma"/>
          <w:b w:val="0"/>
          <w:i w:val="0"/>
          <w:caps w:val="0"/>
          <w:color w:val="999999"/>
          <w:spacing w:val="0"/>
          <w:sz w:val="18"/>
          <w:szCs w:val="18"/>
        </w:rPr>
      </w:pPr>
      <w:r>
        <w:rPr>
          <w:rFonts w:hint="default" w:ascii="Tahoma" w:hAnsi="Tahoma" w:eastAsia="Tahoma" w:cs="Tahoma"/>
          <w:b w:val="0"/>
          <w:i w:val="0"/>
          <w:caps w:val="0"/>
          <w:color w:val="6C6C6C"/>
          <w:spacing w:val="0"/>
          <w:sz w:val="18"/>
          <w:szCs w:val="18"/>
          <w:u w:val="none"/>
        </w:rPr>
        <w:fldChar w:fldCharType="begin"/>
      </w:r>
      <w:r>
        <w:rPr>
          <w:rFonts w:hint="default" w:ascii="Tahoma" w:hAnsi="Tahoma" w:eastAsia="Tahoma" w:cs="Tahoma"/>
          <w:b w:val="0"/>
          <w:i w:val="0"/>
          <w:caps w:val="0"/>
          <w:color w:val="6C6C6C"/>
          <w:spacing w:val="0"/>
          <w:sz w:val="18"/>
          <w:szCs w:val="18"/>
          <w:u w:val="none"/>
        </w:rPr>
        <w:instrText xml:space="preserve"> HYPERLINK "http://www.cet.com.cn/" \t "http://www.cet.com.cn/wzsy/jdxw/_blank" </w:instrText>
      </w:r>
      <w:r>
        <w:rPr>
          <w:rFonts w:hint="default" w:ascii="Tahoma" w:hAnsi="Tahoma" w:eastAsia="Tahoma" w:cs="Tahoma"/>
          <w:b w:val="0"/>
          <w:i w:val="0"/>
          <w:caps w:val="0"/>
          <w:color w:val="6C6C6C"/>
          <w:spacing w:val="0"/>
          <w:sz w:val="18"/>
          <w:szCs w:val="18"/>
          <w:u w:val="none"/>
        </w:rPr>
        <w:fldChar w:fldCharType="separate"/>
      </w:r>
      <w:r>
        <w:rPr>
          <w:rStyle w:val="7"/>
          <w:rFonts w:hint="default" w:ascii="Tahoma" w:hAnsi="Tahoma" w:eastAsia="Tahoma" w:cs="Tahoma"/>
          <w:b w:val="0"/>
          <w:i w:val="0"/>
          <w:caps w:val="0"/>
          <w:color w:val="6C6C6C"/>
          <w:spacing w:val="0"/>
          <w:sz w:val="18"/>
          <w:szCs w:val="18"/>
          <w:u w:val="none"/>
        </w:rPr>
        <w:t>中国经济新闻网 </w:t>
      </w:r>
      <w:r>
        <w:rPr>
          <w:rFonts w:hint="default" w:ascii="Tahoma" w:hAnsi="Tahoma" w:eastAsia="Tahoma" w:cs="Tahoma"/>
          <w:b w:val="0"/>
          <w:i w:val="0"/>
          <w:caps w:val="0"/>
          <w:color w:val="6C6C6C"/>
          <w:spacing w:val="0"/>
          <w:sz w:val="18"/>
          <w:szCs w:val="18"/>
          <w:u w:val="none"/>
        </w:rPr>
        <w:fldChar w:fldCharType="end"/>
      </w:r>
      <w:r>
        <w:rPr>
          <w:rFonts w:hint="default" w:ascii="Tahoma" w:hAnsi="Tahoma" w:eastAsia="Tahoma" w:cs="Tahoma"/>
          <w:b w:val="0"/>
          <w:i w:val="0"/>
          <w:caps w:val="0"/>
          <w:color w:val="999999"/>
          <w:spacing w:val="0"/>
          <w:sz w:val="18"/>
          <w:szCs w:val="18"/>
        </w:rPr>
        <w:t>2018-07-18 10:21:10</w:t>
      </w:r>
    </w:p>
    <w:p>
      <w:pPr>
        <w:pStyle w:val="4"/>
        <w:keepNext w:val="0"/>
        <w:keepLines w:val="0"/>
        <w:widowControl/>
        <w:suppressLineNumbers w:val="0"/>
        <w:jc w:val="center"/>
      </w:pPr>
      <w:bookmarkStart w:id="0" w:name="_GoBack"/>
      <w:r>
        <w:rPr>
          <w:rStyle w:val="6"/>
          <w:rFonts w:hint="default" w:ascii="Tahoma" w:hAnsi="Tahoma" w:eastAsia="Tahoma" w:cs="Tahoma"/>
          <w:i w:val="0"/>
          <w:caps w:val="0"/>
          <w:color w:val="000000"/>
          <w:spacing w:val="0"/>
          <w:sz w:val="21"/>
          <w:szCs w:val="21"/>
        </w:rPr>
        <w:t>改革国资授权经营体制方案落地在即</w:t>
      </w:r>
    </w:p>
    <w:p>
      <w:pPr>
        <w:pStyle w:val="4"/>
        <w:keepNext w:val="0"/>
        <w:keepLines w:val="0"/>
        <w:widowControl/>
        <w:suppressLineNumbers w:val="0"/>
        <w:jc w:val="center"/>
      </w:pPr>
      <w:r>
        <w:rPr>
          <w:rStyle w:val="6"/>
          <w:rFonts w:hint="default" w:ascii="Tahoma" w:hAnsi="Tahoma" w:eastAsia="Tahoma" w:cs="Tahoma"/>
          <w:i w:val="0"/>
          <w:caps w:val="0"/>
          <w:color w:val="000000"/>
          <w:spacing w:val="0"/>
          <w:sz w:val="21"/>
          <w:szCs w:val="21"/>
        </w:rPr>
        <w:t>下半年国资国企改革将扩围升级</w:t>
      </w:r>
    </w:p>
    <w:bookmarkEnd w:id="0"/>
    <w:p>
      <w:pPr>
        <w:pStyle w:val="4"/>
        <w:keepNext w:val="0"/>
        <w:keepLines w:val="0"/>
        <w:widowControl/>
        <w:suppressLineNumbers w:val="0"/>
      </w:pPr>
      <w:r>
        <w:rPr>
          <w:rFonts w:hint="default" w:ascii="Tahoma" w:hAnsi="Tahoma" w:eastAsia="Tahoma" w:cs="Tahoma"/>
          <w:b w:val="0"/>
          <w:i w:val="0"/>
          <w:caps w:val="0"/>
          <w:color w:val="000000"/>
          <w:spacing w:val="0"/>
          <w:sz w:val="21"/>
          <w:szCs w:val="21"/>
        </w:rPr>
        <w:t>　　推进2到3家央企集团层面混改 成立专项基金推动煤炭资源整合 </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下半年国资国企改革将扩围升级。“进一步增加国有资本投资运营公司、部分重要领域混合所有制改革、混合所有制企业员工持股等试点数量，拓展试点内容，赋予试点企业更多自主权。”国务院国资委主任肖亚庆在7月17日的中央企业、地方国资委负责人视频会议(下称“会议”)上如是说道。</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国务院国资委党委书记郝鹏在会上指出，下半年要突出抓好推动国资监管机构职能转变、改革国有资本授权经营体制、积极稳妥推进混合所有制改革、改革和完善公司法人治理结构、推行经理层任期制和契约化管理、完善中央企业负责人经营业绩考核体系、改革中央企业工资决定机制、加快剥离企业办社会职能和解决历史遗留问题等重点任务，确保取得实质性进展。</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据透露，其中包括稳妥推进2到3家中央企业在集团层面实施股权多元化，推进主业处于充分竞争行业和领域的商业类国有企业开展混合所有制改革。同时，成立中央企业煤炭资源优化整合专项基金，探索市场化专业化重组整合模式。此外，《改革国有资本授权经营体制方案》初步制定完成，正在履行报批程序，下半年将出台。</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今年以来，国企收入利润持续快速增长，创历史同期最好水平。数据显示，1-6月，国资监管系统企业累计实现营业收入25.7万亿元，同比增长10.6%；实现增加值6万亿元，同比增长10.1%；实现利润总额16508.9亿元，同比增长22.6%；上交税费总额2.2万亿元，同比增长14.4%。</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这一切发展质量的提升与供给侧结构性改革的深入推进不无关系。据介绍，国务院国资委严控非主业投资规模和投向，严控金融业务开展，引导中央企业进一步聚焦实业、突出主业。今年上半年，中央企业通过产权市场退出非主业和低效无效投资274宗，回收资金259.1亿元。</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重组整合也再接再厉。《经济参考报》记者了解到，今年上半年中核集团和中核建设集团、武汉邮科院和电信科研院实施重组，装备制造等企业重组也在稳妥积极推进，央企户数调整至96家。</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会议提出，下半年要稳步推进装备制造、煤炭、电力、通信、化工等领域中央企业战略性重组，推动国有资本进一步向符合国家战略的重点行业、关键领域和优势企业集中。同时，以拥有优势主业的企业为主导，打造新能源汽车、北斗产业、大型邮轮、工业互联网等协同发展平台来推动资源整合。持续推动煤炭、钢铁、海工装备、环保等领域资源整合，加快推进免税业务、煤炭码头等专业化整合。此外，成立中央企业煤炭资源优化整合专项基金，探索市场化专业化重组整合模式，稳步有序推进煤炭资源整合，确保完成化解煤炭过剩产能1265万吨、整合煤炭产能8000万吨年度目标。</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重点改革的梯次展开，则进一步增强了企业动力活力。国务院国资委数据显示，1-6月，中央企业新增混合所有制企业220户，通过资本市场引入社会资本超过880亿元。中央企业10户混合所有制企业员工持股试点子企业全部完成首期员工出资入股，并进行工商变更登记。</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28个地方共选择163户企业开展员工持股试点。</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值得注意的是，下半年混改试点在扩围的同时，还将在集团层面迎来突破。早在今年两会期间，中国东方航空集团公司董事长刘绍勇就透露，已经向国务院国资委党委提交关于集团公司层面推进混合所有制改革的申请报告。</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健全股权多元化和混合所有制企业治理机制，切实把引进社会资本和转换经营机制有机结合起来，实现各种所有制资本取长补短、相互促进、共同发展。”肖亚庆提出，在集团和子企业层面统筹推进落实董事会职权、实行经理层成员契约化管理、推行职业经理人制度、企业薪酬分配差异化改革等试点，一些在企业集团层面开展的试点，可以在二三级企业加快推进。</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国企改革“双百行动”和区域性国资国企综合改革试点也将加速落地。所谓的“双百行动”，即选取百户中央企业子企业和百家地方国有骨干企业，深入推进综合改革。郝鹏表示，要以“双百企业”为载体，积极探索改革思路和方式方法，打造一批改革尖兵和改革创新高地，尽快形成可推广、可复制的经验，发挥好示范带动作用，切实打通改革政策措施落地的“最后一公里”。</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据介绍，下半年国资委将指导“双百企业”一企一策制定完善综合改革实施方案，联合地方政府开展区域性国资国企综合改革试验。日前上海市委副书记、市长应勇在上海国际集团和上海国盛集团调研时指出，要努力把上海建设成为国资国企综合改革示范区。</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此外，十九大报告和中央经济工作会议都明确要求，围绕管资本为主加快转变国有资产监管机构职能，改革国有资本授权经营体制。业内人士认为，授权经营体制将成为新一轮国资改革的“牛鼻子”。</w:t>
      </w:r>
    </w:p>
    <w:p>
      <w:pPr>
        <w:pStyle w:val="4"/>
        <w:keepNext w:val="0"/>
        <w:keepLines w:val="0"/>
        <w:widowControl/>
        <w:suppressLineNumbers w:val="0"/>
      </w:pPr>
      <w:r>
        <w:rPr>
          <w:rFonts w:hint="default" w:ascii="Tahoma" w:hAnsi="Tahoma" w:eastAsia="Tahoma" w:cs="Tahoma"/>
          <w:b w:val="0"/>
          <w:i w:val="0"/>
          <w:caps w:val="0"/>
          <w:color w:val="000000"/>
          <w:spacing w:val="0"/>
          <w:sz w:val="21"/>
          <w:szCs w:val="21"/>
        </w:rPr>
        <w:t>　　会议透露，下半年将出台《改革国有资本授权经营体制方案》，科学界定出资人与企业责权边界，赋予投资运营公司更多自主权，实现放活与管好的有机统一。深化国有资本投资运营公司试点，依托投资公司推进中央企业产业合作和重组整合，加快产业集聚和转型升级，提升产业竞争力；推进运营公司基金系建设，支持运营公司参与中央企业IPO、市场化债转股、股权多元化和混合所有制改革等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970CD"/>
    <w:rsid w:val="3D2970C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i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2018-07-18T02:32:00Z</dcterms:created>
  <dc:creator>qian</dc:creator>
  <cp:lastModifiedBy>qian</cp:lastModifiedBy>
  <dcterms:modified xsi:type="dcterms:W3CDTF">2018-07-18T02:33:38Z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