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DDDDD" w:sz="6" w:space="3"/>
          <w:right w:val="none" w:color="auto" w:sz="0" w:space="0"/>
        </w:pBdr>
        <w:spacing w:before="0" w:beforeAutospacing="0" w:after="0" w:afterAutospacing="0"/>
        <w:ind w:left="0" w:right="0" w:firstLine="0"/>
        <w:jc w:val="center"/>
        <w:rPr>
          <w:rFonts w:ascii="Tahoma" w:hAnsi="Tahoma" w:eastAsia="Tahoma" w:cs="Tahoma"/>
          <w:i w:val="0"/>
          <w:caps w:val="0"/>
          <w:color w:val="1F376D"/>
          <w:spacing w:val="0"/>
          <w:sz w:val="27"/>
          <w:szCs w:val="27"/>
        </w:rPr>
      </w:pPr>
      <w:r>
        <w:rPr>
          <w:rFonts w:hint="default" w:ascii="Tahoma" w:hAnsi="Tahoma" w:eastAsia="Tahoma" w:cs="Tahoma"/>
          <w:i w:val="0"/>
          <w:caps w:val="0"/>
          <w:color w:val="1F376D"/>
          <w:spacing w:val="0"/>
          <w:sz w:val="27"/>
          <w:szCs w:val="27"/>
          <w:bdr w:val="none" w:color="auto" w:sz="0" w:space="0"/>
        </w:rPr>
        <w:t>专家建言“东北振兴”：深化金融改革 助力实体经济</w:t>
      </w:r>
    </w:p>
    <w:p>
      <w:pPr>
        <w:pStyle w:val="4"/>
        <w:keepNext w:val="0"/>
        <w:keepLines w:val="0"/>
        <w:widowControl/>
        <w:suppressLineNumbers w:val="0"/>
        <w:spacing w:before="75" w:beforeAutospacing="0" w:after="300" w:afterAutospacing="0"/>
        <w:ind w:left="0" w:right="0" w:firstLine="0"/>
        <w:jc w:val="center"/>
        <w:rPr>
          <w:rFonts w:hint="default" w:ascii="Tahoma" w:hAnsi="Tahoma" w:eastAsia="Tahoma" w:cs="Tahoma"/>
          <w:b w:val="0"/>
          <w:i w:val="0"/>
          <w:caps w:val="0"/>
          <w:color w:val="999999"/>
          <w:spacing w:val="0"/>
          <w:sz w:val="18"/>
          <w:szCs w:val="18"/>
        </w:rPr>
      </w:pPr>
      <w:r>
        <w:rPr>
          <w:rFonts w:hint="default" w:ascii="Tahoma" w:hAnsi="Tahoma" w:eastAsia="Tahoma" w:cs="Tahoma"/>
          <w:b w:val="0"/>
          <w:i w:val="0"/>
          <w:caps w:val="0"/>
          <w:color w:val="6C6C6C"/>
          <w:spacing w:val="0"/>
          <w:sz w:val="18"/>
          <w:szCs w:val="18"/>
          <w:u w:val="none"/>
        </w:rPr>
        <w:fldChar w:fldCharType="begin"/>
      </w:r>
      <w:r>
        <w:rPr>
          <w:rFonts w:hint="default" w:ascii="Tahoma" w:hAnsi="Tahoma" w:eastAsia="Tahoma" w:cs="Tahoma"/>
          <w:b w:val="0"/>
          <w:i w:val="0"/>
          <w:caps w:val="0"/>
          <w:color w:val="6C6C6C"/>
          <w:spacing w:val="0"/>
          <w:sz w:val="18"/>
          <w:szCs w:val="18"/>
          <w:u w:val="none"/>
        </w:rPr>
        <w:instrText xml:space="preserve"> HYPERLINK "http://www.cet.com.cn/" \t "http://www.cet.com.cn/wzsy/qwfb/_blank" </w:instrText>
      </w:r>
      <w:r>
        <w:rPr>
          <w:rFonts w:hint="default" w:ascii="Tahoma" w:hAnsi="Tahoma" w:eastAsia="Tahoma" w:cs="Tahoma"/>
          <w:b w:val="0"/>
          <w:i w:val="0"/>
          <w:caps w:val="0"/>
          <w:color w:val="6C6C6C"/>
          <w:spacing w:val="0"/>
          <w:sz w:val="18"/>
          <w:szCs w:val="18"/>
          <w:u w:val="none"/>
        </w:rPr>
        <w:fldChar w:fldCharType="separate"/>
      </w:r>
      <w:r>
        <w:rPr>
          <w:rStyle w:val="6"/>
          <w:rFonts w:hint="default" w:ascii="Tahoma" w:hAnsi="Tahoma" w:eastAsia="Tahoma" w:cs="Tahoma"/>
          <w:b w:val="0"/>
          <w:i w:val="0"/>
          <w:caps w:val="0"/>
          <w:color w:val="6C6C6C"/>
          <w:spacing w:val="0"/>
          <w:sz w:val="18"/>
          <w:szCs w:val="18"/>
          <w:u w:val="none"/>
        </w:rPr>
        <w:t>中国经济新闻网 </w:t>
      </w:r>
      <w:r>
        <w:rPr>
          <w:rFonts w:hint="default" w:ascii="Tahoma" w:hAnsi="Tahoma" w:eastAsia="Tahoma" w:cs="Tahoma"/>
          <w:b w:val="0"/>
          <w:i w:val="0"/>
          <w:caps w:val="0"/>
          <w:color w:val="6C6C6C"/>
          <w:spacing w:val="0"/>
          <w:sz w:val="18"/>
          <w:szCs w:val="18"/>
          <w:u w:val="none"/>
        </w:rPr>
        <w:fldChar w:fldCharType="end"/>
      </w:r>
      <w:r>
        <w:rPr>
          <w:rFonts w:hint="default" w:ascii="Tahoma" w:hAnsi="Tahoma" w:eastAsia="Tahoma" w:cs="Tahoma"/>
          <w:b w:val="0"/>
          <w:i w:val="0"/>
          <w:caps w:val="0"/>
          <w:color w:val="999999"/>
          <w:spacing w:val="0"/>
          <w:sz w:val="18"/>
          <w:szCs w:val="18"/>
        </w:rPr>
        <w:t>2018-02-06 09:59:34</w:t>
      </w:r>
      <w:bookmarkStart w:id="0" w:name="_GoBack"/>
      <w:bookmarkEnd w:id="0"/>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人民网北京2月5日电 （孙阳）“在支持实体经济方面，要特别注重制造业升级，要把中国制造升级成中国智造，并走向中国创造。在东北地区，舆论提及到的更多的是当地遇到的困难，其实前些年东北振兴过程中有不少亮点和成就。现在新的舆论压力来了以后，又但这个短处不能极端化，不能简单的被‘投资不过山海关’的说法误导。”近日，全国政协委员、华夏新供给经济学研究院首席经济学家贾康在2018中国（沈阳）新金融创新发展高峰论坛上表示。</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据悉，本届论坛以“新时代、新金融、新未来”为主题。论坛期间，各与会嘉宾围绕“金融创新与实体经济发展”、“金融助力东北经济振兴”等话题展开了深入探讨。</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在贾康看来，东北老工业基地已经有很好的工业基础，已经形成一些有竞争力的产品。“例如市场上有些东北盛产的农产品质量很好，但要如何将这些优势产品与互联网等新兴产业融合发展，这些都应该在我们讨论的金融和科技支持实体经济的大概念里面。</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就辽宁省在东北地区的发展来看，我对辽宁未来的经济发展还是充满信心。东北地区有雄厚的制造业基础，产业配套能力很强。另外在智能制造改变传统产业、发展新兴产业以及高科技方面也是有很好的基础。最重要的就是人才基础，东北人杰地灵，有很多优秀人才。”中国国际经济交流中心副总经济师徐洪才表示。</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徐洪才认为，虽然大家现在觉得很多东北的人才是“孔雀东南飞”了，但相信将来东北营造了很好的营商环境后，这些人还会回来的。“不仅他自己回来，还可能带着资金、技术以及很多生产要素回来。应该说东北地区也是一个充满希望、具有重大发展潜力的地区。”徐洪才强调。</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论坛期间，与会嘉宾还围绕普惠金融服务乡村振兴战略以及构建多层次普惠金融体系展开了深入探讨。国内农村金融市场发展不均衡，尤其在经济欠发达地区，农村金融需求及供给严重失衡，贫困农户、小微企业等小微经济体融资难、融资贵的问题依然存在。</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国家开发银行原副行长、辽宁省原副省长刘克崮在会议期间表示，从客观上看，小微经济体融资难的根本症结在于现行以大、中、银行为主体，以服务大中型企业为目标，基于正规财务报表和充分抵质押物运作的金融体系，难以适应小微经济体的“多、小、散、弱”天然特点和“缺抵押、缺担保、缺财表”的融资条件。解决小微经济体融资难问题,既要抛弃传统金融的理念和方式,也要防止“一招”、“一式”、“一蹴而就”、“急功近利”的思维。</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必须把功夫用在建立机构、技术(产品)、监管、服务和政策‘五位一体’的中国特色多层次普惠金融制度体系上。”刘克崮指出，推动普惠金融的健康发展，要建立多层次、多类型的普惠金融机构体系以及建立多样、适用的普惠金融技术、产品体系，同时要建立中央与地方统分结合的双层监管体系，并适度放宽城乡基层普惠金融机构的准入。</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发展普惠金融服务‘三农’，企业不仅要弯下腰扎根到农村，同时还要把手和脚都深入到农村金融市场的土壤里。这样才能有机会真正的了解到市场的实际需求，才能提供更好的、接地气的金融服务。”北京久久财富管理顾问有限公司CEO刘清山表示。</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论坛举办期间，“乡村金扶惠民行动”在现场举行了启动仪式。作为本次公益活动的发起单位代表，刘清山在启动仪式上围绕普惠金融如何服务乡村振兴战略做了阐述。据悉，本次金融惠民公益活动，将率先在辽宁地区的乡镇展开，通过普及普惠金融常识、融资贷款法律风险讲座等方式，传递普惠金融的理念，提高村镇农村人群的金融风险防范意识和金融的综合应用能力。</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普惠金融首先要做到安全和低风险，另外就是要真正的便民、利民和惠民，要让更多的广大乡村地区的小微企业以及农户，也能够有机会享受到优质的普惠金融服务。新金融需要的不仅是理念新、技术新、服务新，更要能贴地气，与对普惠金融服务有迫切需求的农户们心连心。只有这样，普惠金融的‘活水’才能真正灌溉好农村经济。”刘清山强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60AEC"/>
    <w:rsid w:val="1D560A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2018-02-07T01:54:00Z</dcterms:created>
  <dc:creator>qian</dc:creator>
  <cp:lastModifiedBy>qian</cp:lastModifiedBy>
  <dcterms:modified xsi:type="dcterms:W3CDTF">2018-02-07T01:55:32Z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