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75" w:lineRule="atLeast"/>
        <w:ind w:right="150"/>
        <w:jc w:val="both"/>
        <w:rPr>
          <w:rFonts w:hint="eastAsia" w:ascii="宋体" w:hAnsi="宋体" w:eastAsia="宋体" w:cs="宋体"/>
          <w:caps w:val="0"/>
          <w:color w:val="777777"/>
          <w:spacing w:val="0"/>
          <w:kern w:val="0"/>
          <w:sz w:val="22"/>
          <w:szCs w:val="22"/>
          <w:bdr w:val="none" w:color="auto" w:sz="0" w:space="0"/>
          <w:shd w:val="clear" w:fill="FFFFFF"/>
          <w:lang w:val="en-US" w:eastAsia="zh-CN" w:bidi="ar"/>
        </w:rPr>
      </w:pPr>
      <w:r>
        <w:rPr>
          <w:rFonts w:hint="eastAsia" w:eastAsiaTheme="minorEastAsia"/>
          <w:lang w:eastAsia="zh-CN"/>
        </w:rPr>
        <w:drawing>
          <wp:inline distT="0" distB="0" distL="114300" distR="114300">
            <wp:extent cx="5739765" cy="1062355"/>
            <wp:effectExtent l="0" t="0" r="13335" b="4445"/>
            <wp:docPr id="2" name="图片 2" descr="中国银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银监"/>
                    <pic:cNvPicPr>
                      <a:picLocks noChangeAspect="1"/>
                    </pic:cNvPicPr>
                  </pic:nvPicPr>
                  <pic:blipFill>
                    <a:blip r:embed="rId4"/>
                    <a:stretch>
                      <a:fillRect/>
                    </a:stretch>
                  </pic:blipFill>
                  <pic:spPr>
                    <a:xfrm>
                      <a:off x="0" y="0"/>
                      <a:ext cx="5739765" cy="1062355"/>
                    </a:xfrm>
                    <a:prstGeom prst="rect">
                      <a:avLst/>
                    </a:prstGeom>
                  </pic:spPr>
                </pic:pic>
              </a:graphicData>
            </a:graphic>
          </wp:inline>
        </w:drawing>
      </w:r>
    </w:p>
    <w:tbl>
      <w:tblPr>
        <w:tblpPr w:leftFromText="180" w:rightFromText="180" w:vertAnchor="text" w:horzAnchor="page" w:tblpX="343" w:tblpY="841"/>
        <w:tblOverlap w:val="never"/>
        <w:tblW w:w="11250" w:type="dxa"/>
        <w:tblCellSpacing w:w="0" w:type="dxa"/>
        <w:tblInd w:w="0" w:type="dxa"/>
        <w:shd w:val="clear" w:color="auto" w:fill="FFFFFF"/>
        <w:tblLayout w:type="fixed"/>
        <w:tblCellMar>
          <w:top w:w="0" w:type="dxa"/>
          <w:left w:w="0" w:type="dxa"/>
          <w:bottom w:w="0" w:type="dxa"/>
          <w:right w:w="0" w:type="dxa"/>
        </w:tblCellMar>
      </w:tblPr>
      <w:tblGrid>
        <w:gridCol w:w="11250"/>
      </w:tblGrid>
      <w:tr>
        <w:tblPrEx>
          <w:shd w:val="clear" w:color="auto" w:fill="FFFFFF"/>
          <w:tblLayout w:type="fixed"/>
          <w:tblCellMar>
            <w:top w:w="0" w:type="dxa"/>
            <w:left w:w="0" w:type="dxa"/>
            <w:bottom w:w="0" w:type="dxa"/>
            <w:right w:w="0" w:type="dxa"/>
          </w:tblCellMar>
        </w:tblPrEx>
        <w:trPr>
          <w:tblCellSpacing w:w="0" w:type="dxa"/>
        </w:trPr>
        <w:tc>
          <w:tcPr>
            <w:tcW w:w="11250" w:type="dxa"/>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375" w:lineRule="atLeast"/>
              <w:ind w:right="150"/>
              <w:jc w:val="both"/>
              <w:rPr>
                <w:rFonts w:ascii="宋体" w:hAnsi="宋体" w:eastAsia="宋体" w:cs="宋体"/>
                <w:caps w:val="0"/>
                <w:color w:val="777777"/>
                <w:spacing w:val="0"/>
                <w:sz w:val="22"/>
                <w:szCs w:val="22"/>
              </w:rPr>
            </w:pPr>
            <w:r>
              <w:rPr>
                <w:rFonts w:hint="eastAsia" w:ascii="宋体" w:hAnsi="宋体" w:eastAsia="宋体" w:cs="宋体"/>
                <w:caps w:val="0"/>
                <w:color w:val="777777"/>
                <w:spacing w:val="0"/>
                <w:kern w:val="0"/>
                <w:sz w:val="22"/>
                <w:szCs w:val="22"/>
                <w:bdr w:val="none" w:color="auto" w:sz="0" w:space="0"/>
                <w:shd w:val="clear" w:fill="FFFFFF"/>
                <w:lang w:val="en-US" w:eastAsia="zh-CN" w:bidi="ar"/>
              </w:rPr>
              <w:t>发布时间 : 2018-01-13   文章来源 : 宣传部   文章类型 : 原创</w:t>
            </w:r>
          </w:p>
        </w:tc>
      </w:tr>
      <w:tr>
        <w:tblPrEx>
          <w:shd w:val="clear" w:color="auto" w:fill="FFFFFF"/>
          <w:tblLayout w:type="fixed"/>
          <w:tblCellMar>
            <w:top w:w="0" w:type="dxa"/>
            <w:left w:w="0" w:type="dxa"/>
            <w:bottom w:w="0" w:type="dxa"/>
            <w:right w:w="0" w:type="dxa"/>
          </w:tblCellMar>
        </w:tblPrEx>
        <w:trPr>
          <w:tblCellSpacing w:w="0" w:type="dxa"/>
        </w:trPr>
        <w:tc>
          <w:tcPr>
            <w:tcW w:w="11250" w:type="dxa"/>
            <w:shd w:val="clear" w:color="auto" w:fill="FFFFFF"/>
            <w:vAlign w:val="center"/>
          </w:tcPr>
          <w:p>
            <w:pPr>
              <w:pStyle w:val="2"/>
              <w:keepNext w:val="0"/>
              <w:keepLines w:val="0"/>
              <w:widowControl/>
              <w:suppressLineNumbers w:val="0"/>
              <w:spacing w:before="0" w:beforeAutospacing="0" w:after="0" w:afterAutospacing="0" w:line="600" w:lineRule="atLeast"/>
              <w:ind w:left="0" w:right="0"/>
              <w:jc w:val="center"/>
              <w:rPr>
                <w:rFonts w:ascii="Wingdings" w:hAnsi="Wingdings" w:cs="Wingdings"/>
                <w:sz w:val="21"/>
                <w:szCs w:val="21"/>
              </w:rPr>
            </w:pPr>
            <w:bookmarkStart w:id="0" w:name="_GoBack"/>
            <w:r>
              <w:rPr>
                <w:rFonts w:ascii="黑体" w:hAnsi="宋体" w:eastAsia="黑体" w:cs="黑体"/>
                <w:caps w:val="0"/>
                <w:spacing w:val="0"/>
                <w:sz w:val="36"/>
                <w:szCs w:val="36"/>
              </w:rPr>
              <w:t>银监会</w:t>
            </w:r>
            <w:r>
              <w:rPr>
                <w:rFonts w:hint="eastAsia" w:ascii="黑体" w:hAnsi="宋体" w:eastAsia="黑体" w:cs="黑体"/>
                <w:caps w:val="0"/>
                <w:spacing w:val="0"/>
                <w:sz w:val="36"/>
                <w:szCs w:val="36"/>
              </w:rPr>
              <w:t>印发《关于进一步深化整治银行业市场乱象的通知》</w:t>
            </w:r>
            <w:bookmarkEnd w:id="0"/>
          </w:p>
          <w:p>
            <w:pPr>
              <w:pStyle w:val="2"/>
              <w:keepNext w:val="0"/>
              <w:keepLines w:val="0"/>
              <w:widowControl/>
              <w:suppressLineNumbers w:val="0"/>
              <w:spacing w:before="0" w:beforeAutospacing="0" w:after="0" w:afterAutospacing="0" w:line="600" w:lineRule="atLeast"/>
              <w:ind w:left="0" w:right="0" w:firstLine="600"/>
              <w:jc w:val="both"/>
              <w:rPr>
                <w:rFonts w:hint="default" w:ascii="Wingdings" w:hAnsi="Wingdings" w:cs="Wingdings"/>
                <w:sz w:val="21"/>
                <w:szCs w:val="21"/>
              </w:rPr>
            </w:pPr>
            <w:r>
              <w:rPr>
                <w:rFonts w:ascii="仿宋" w:hAnsi="仿宋" w:eastAsia="仿宋" w:cs="仿宋"/>
                <w:caps w:val="0"/>
                <w:spacing w:val="0"/>
                <w:sz w:val="30"/>
                <w:szCs w:val="30"/>
              </w:rPr>
              <w:t>2017年，银监会组织开展了“三三四十”等一系列专项治理行动，下大力气整治银行业市场乱象，取得阶段性成效，银行业经营发展呈现出积极变化，整体保持稳中有进的良好态势。但是，整治银行业市场乱象具有长期性、复杂性和艰巨性，是当前及今后一段时期银行业改革发展和监管的一项常态化重点工作。</w:t>
            </w:r>
          </w:p>
          <w:p>
            <w:pPr>
              <w:pStyle w:val="2"/>
              <w:keepNext w:val="0"/>
              <w:keepLines w:val="0"/>
              <w:widowControl/>
              <w:suppressLineNumbers w:val="0"/>
              <w:spacing w:before="0" w:beforeAutospacing="0" w:after="0" w:afterAutospacing="0" w:line="600" w:lineRule="atLeast"/>
              <w:ind w:left="0" w:right="0" w:firstLine="600"/>
              <w:jc w:val="both"/>
              <w:rPr>
                <w:rFonts w:hint="default" w:ascii="Wingdings" w:hAnsi="Wingdings" w:cs="Wingdings"/>
                <w:sz w:val="21"/>
                <w:szCs w:val="21"/>
              </w:rPr>
            </w:pPr>
            <w:r>
              <w:rPr>
                <w:rFonts w:hint="eastAsia" w:ascii="仿宋" w:hAnsi="仿宋" w:eastAsia="仿宋" w:cs="仿宋"/>
                <w:caps w:val="0"/>
                <w:spacing w:val="0"/>
                <w:sz w:val="30"/>
                <w:szCs w:val="30"/>
              </w:rPr>
              <w:t>为全面贯彻落实党的十九大、中央经济工作会议和全国金融工作会议精神，严守不发生系统性金融风险的底线，近日，银监会印发《关于进一步深化整治银行业市场乱象的通知》（以下简称《通知》），在全国范围内进一步深化整治银行业市场乱象，切实巩固前期专项治理成果，着力引导银行业回归本源、专注主业、做精专业、合规经营、稳健发展。</w:t>
            </w:r>
          </w:p>
          <w:p>
            <w:pPr>
              <w:pStyle w:val="2"/>
              <w:keepNext w:val="0"/>
              <w:keepLines w:val="0"/>
              <w:widowControl/>
              <w:suppressLineNumbers w:val="0"/>
              <w:spacing w:before="0" w:beforeAutospacing="0" w:after="0" w:afterAutospacing="0" w:line="600" w:lineRule="atLeast"/>
              <w:ind w:left="0" w:right="0" w:firstLine="600"/>
              <w:jc w:val="both"/>
              <w:rPr>
                <w:rFonts w:hint="default" w:ascii="Wingdings" w:hAnsi="Wingdings" w:cs="Wingdings"/>
                <w:sz w:val="21"/>
                <w:szCs w:val="21"/>
              </w:rPr>
            </w:pPr>
            <w:r>
              <w:rPr>
                <w:rFonts w:hint="eastAsia" w:ascii="仿宋" w:hAnsi="仿宋" w:eastAsia="仿宋" w:cs="仿宋"/>
                <w:caps w:val="0"/>
                <w:spacing w:val="0"/>
                <w:sz w:val="30"/>
                <w:szCs w:val="30"/>
              </w:rPr>
              <w:t>《通知》对2018年深化整治银行业市场乱象提出一些具体的、操作性的工作要求，明确设定评估、检查、督查和整改等环节，以评估检验质效，以检查锁定问题，以督查确保真实，以整改促进规范。要求实行“一把手”负责制，制定可行性、针对性强的实施方案，深挖细查，规范整改，严肃问责，并严格纪律执行。对严重违法违规行为、屡查屡犯问题、重大案件和风险事件，依法进行处罚，提升监管威慑力。</w:t>
            </w:r>
          </w:p>
          <w:p>
            <w:pPr>
              <w:pStyle w:val="2"/>
              <w:keepNext w:val="0"/>
              <w:keepLines w:val="0"/>
              <w:widowControl/>
              <w:suppressLineNumbers w:val="0"/>
              <w:spacing w:before="0" w:beforeAutospacing="0" w:after="0" w:afterAutospacing="0" w:line="600" w:lineRule="atLeast"/>
              <w:ind w:left="0" w:right="0" w:firstLine="600"/>
              <w:jc w:val="both"/>
              <w:rPr>
                <w:rFonts w:hint="default" w:ascii="Wingdings" w:hAnsi="Wingdings" w:cs="Wingdings"/>
                <w:sz w:val="21"/>
                <w:szCs w:val="21"/>
              </w:rPr>
            </w:pPr>
            <w:r>
              <w:rPr>
                <w:rFonts w:hint="eastAsia" w:ascii="仿宋" w:hAnsi="仿宋" w:eastAsia="仿宋" w:cs="仿宋"/>
                <w:caps w:val="0"/>
                <w:spacing w:val="0"/>
                <w:sz w:val="30"/>
                <w:szCs w:val="30"/>
              </w:rPr>
              <w:t>为加强政策执行，突出工作重点，银监会同时印发《进一步深化整治银行业市场乱象的意见》（以下简称《意见》）和《2018年整治银行业市场乱象工作要点》（以下简称《要点》）。《意见》共10条，对深化整治银行业市场乱象提出方向性、原则性和指导性的工作要求，明确银行业金融机构承担主体责任，监管部门承担监管责任，要求把发现问题和解决问题作为出发点和落脚点，重点整治问题多的机构、乱象多的区域、风险集中的业务领域。</w:t>
            </w:r>
          </w:p>
          <w:p>
            <w:pPr>
              <w:pStyle w:val="2"/>
              <w:keepNext w:val="0"/>
              <w:keepLines w:val="0"/>
              <w:widowControl/>
              <w:suppressLineNumbers w:val="0"/>
              <w:spacing w:before="0" w:beforeAutospacing="0" w:after="0" w:afterAutospacing="0" w:line="600" w:lineRule="atLeast"/>
              <w:ind w:left="0" w:right="0" w:firstLine="600"/>
              <w:jc w:val="both"/>
              <w:rPr>
                <w:rFonts w:hint="default" w:ascii="Wingdings" w:hAnsi="Wingdings" w:cs="Wingdings"/>
                <w:sz w:val="21"/>
                <w:szCs w:val="21"/>
              </w:rPr>
            </w:pPr>
            <w:r>
              <w:rPr>
                <w:rFonts w:hint="eastAsia" w:ascii="仿宋" w:hAnsi="仿宋" w:eastAsia="仿宋" w:cs="仿宋"/>
                <w:caps w:val="0"/>
                <w:spacing w:val="0"/>
                <w:sz w:val="30"/>
                <w:szCs w:val="30"/>
              </w:rPr>
              <w:t>《要点》共8个方面22条，明确2018年重点整治公司治理不健全、违反宏观调控政策、影子银行和交叉金融产品风险、侵害金融消费者权益、利益输送、违法违规展业、案件与操作风险、行业廉洁风险等方面，基本涵盖了银行业市场乱象和存在问题的主要类别，同时单独列举了监管履职方面的负面清单。</w:t>
            </w:r>
          </w:p>
          <w:p>
            <w:pPr>
              <w:pStyle w:val="2"/>
              <w:keepNext w:val="0"/>
              <w:keepLines w:val="0"/>
              <w:widowControl/>
              <w:suppressLineNumbers w:val="0"/>
              <w:spacing w:before="0" w:beforeAutospacing="0" w:after="0" w:afterAutospacing="0" w:line="600" w:lineRule="atLeast"/>
              <w:ind w:left="0" w:right="0" w:firstLine="600"/>
              <w:jc w:val="both"/>
              <w:rPr>
                <w:rFonts w:hint="default" w:ascii="Wingdings" w:hAnsi="Wingdings" w:cs="Wingdings"/>
                <w:sz w:val="21"/>
                <w:szCs w:val="21"/>
              </w:rPr>
            </w:pPr>
            <w:r>
              <w:rPr>
                <w:rFonts w:hint="eastAsia" w:ascii="仿宋" w:hAnsi="仿宋" w:eastAsia="仿宋" w:cs="仿宋"/>
                <w:caps w:val="0"/>
                <w:spacing w:val="0"/>
                <w:sz w:val="30"/>
                <w:szCs w:val="30"/>
              </w:rPr>
              <w:t>银监会强调，各银行业金融机构和各级监管机构要准确把握习近平新时代中国特色社会主义思想的理论精髓，在思想上政治上行动上与以习近平同志为核心的党中央保持高度一致，不折不扣落实党中央、国务院关于金融工作的决策部署，以深化整治银行业市场乱象为重要抓手，切实回归服务实体经济本源，坚决打好防范化解重大风险攻坚战。</w:t>
            </w:r>
          </w:p>
          <w:p>
            <w:pPr>
              <w:pStyle w:val="2"/>
              <w:keepNext w:val="0"/>
              <w:keepLines w:val="0"/>
              <w:widowControl/>
              <w:suppressLineNumbers w:val="0"/>
              <w:spacing w:before="0" w:beforeAutospacing="0" w:after="0" w:afterAutospacing="0" w:line="600" w:lineRule="atLeast"/>
              <w:ind w:left="0" w:right="0"/>
              <w:jc w:val="both"/>
              <w:rPr>
                <w:rFonts w:hint="default" w:ascii="Wingdings" w:hAnsi="Wingdings" w:cs="Wingdings"/>
                <w:sz w:val="21"/>
                <w:szCs w:val="21"/>
              </w:rPr>
            </w:pPr>
            <w:r>
              <w:rPr>
                <w:rFonts w:hint="eastAsia" w:ascii="仿宋" w:hAnsi="仿宋" w:eastAsia="仿宋" w:cs="仿宋"/>
                <w:caps w:val="0"/>
                <w:spacing w:val="0"/>
                <w:sz w:val="30"/>
                <w:szCs w:val="30"/>
              </w:rPr>
              <w:t> </w:t>
            </w:r>
          </w:p>
          <w:p>
            <w:pPr>
              <w:pStyle w:val="2"/>
              <w:keepNext w:val="0"/>
              <w:keepLines w:val="0"/>
              <w:widowControl/>
              <w:suppressLineNumbers w:val="0"/>
              <w:spacing w:before="0" w:beforeAutospacing="0" w:after="0" w:afterAutospacing="0" w:line="600" w:lineRule="atLeast"/>
              <w:ind w:left="0" w:right="0"/>
              <w:jc w:val="both"/>
              <w:rPr>
                <w:rFonts w:hint="default" w:ascii="Wingdings" w:hAnsi="Wingdings" w:cs="Wingdings"/>
                <w:sz w:val="21"/>
                <w:szCs w:val="21"/>
              </w:rPr>
            </w:pPr>
            <w:r>
              <w:rPr>
                <w:rFonts w:hint="eastAsia" w:ascii="仿宋" w:hAnsi="仿宋" w:eastAsia="仿宋" w:cs="仿宋"/>
                <w:caps w:val="0"/>
                <w:spacing w:val="0"/>
                <w:sz w:val="30"/>
                <w:szCs w:val="30"/>
              </w:rPr>
              <w:t>附：《中国银监会关于进一步深化整治银行业市场乱象的通知》</w:t>
            </w:r>
          </w:p>
          <w:p>
            <w:pPr>
              <w:pStyle w:val="2"/>
              <w:keepNext w:val="0"/>
              <w:keepLines w:val="0"/>
              <w:widowControl/>
              <w:suppressLineNumbers w:val="0"/>
              <w:spacing w:before="0" w:beforeAutospacing="0" w:after="0" w:afterAutospacing="0" w:line="600" w:lineRule="atLeast"/>
              <w:ind w:left="0" w:right="0"/>
              <w:jc w:val="both"/>
              <w:rPr>
                <w:rFonts w:hint="default" w:ascii="Wingdings" w:hAnsi="Wingdings" w:cs="Wingdings"/>
                <w:sz w:val="21"/>
                <w:szCs w:val="21"/>
              </w:rPr>
            </w:pPr>
            <w:r>
              <w:rPr>
                <w:rFonts w:hint="default" w:ascii="Wingdings" w:hAnsi="Wingdings" w:eastAsia="宋体" w:cs="Wingdings"/>
                <w:caps w:val="0"/>
                <w:spacing w:val="0"/>
                <w:sz w:val="21"/>
                <w:szCs w:val="21"/>
                <w:u w:val="none"/>
              </w:rPr>
              <w:fldChar w:fldCharType="begin"/>
            </w:r>
            <w:r>
              <w:rPr>
                <w:rFonts w:hint="default" w:ascii="Wingdings" w:hAnsi="Wingdings" w:eastAsia="宋体" w:cs="Wingdings"/>
                <w:caps w:val="0"/>
                <w:spacing w:val="0"/>
                <w:sz w:val="21"/>
                <w:szCs w:val="21"/>
                <w:u w:val="none"/>
              </w:rPr>
              <w:instrText xml:space="preserve"> HYPERLINK "http://www.cbrc.gov.cn/chinese/home/docDOC_ReadView/84BF855655F54ECDA63CBBD0048F6C15.html" </w:instrText>
            </w:r>
            <w:r>
              <w:rPr>
                <w:rFonts w:hint="default" w:ascii="Wingdings" w:hAnsi="Wingdings" w:eastAsia="宋体" w:cs="Wingdings"/>
                <w:caps w:val="0"/>
                <w:spacing w:val="0"/>
                <w:sz w:val="21"/>
                <w:szCs w:val="21"/>
                <w:u w:val="none"/>
              </w:rPr>
              <w:fldChar w:fldCharType="separate"/>
            </w:r>
            <w:r>
              <w:rPr>
                <w:rStyle w:val="5"/>
                <w:rFonts w:hint="eastAsia" w:ascii="仿宋" w:hAnsi="仿宋" w:eastAsia="仿宋" w:cs="仿宋"/>
                <w:caps w:val="0"/>
                <w:color w:val="0000FF"/>
                <w:spacing w:val="0"/>
                <w:sz w:val="30"/>
                <w:szCs w:val="30"/>
                <w:u w:val="single"/>
              </w:rPr>
              <w:t>http://www.cbrc.gov.cn/chinese/home/docDOC_ReadView/84B</w:t>
            </w:r>
            <w:r>
              <w:rPr>
                <w:rFonts w:hint="default" w:ascii="Wingdings" w:hAnsi="Wingdings" w:eastAsia="宋体" w:cs="Wingdings"/>
                <w:caps w:val="0"/>
                <w:spacing w:val="0"/>
                <w:sz w:val="21"/>
                <w:szCs w:val="21"/>
                <w:u w:val="none"/>
              </w:rPr>
              <w:fldChar w:fldCharType="end"/>
            </w:r>
          </w:p>
          <w:p>
            <w:pPr>
              <w:pStyle w:val="2"/>
              <w:keepNext w:val="0"/>
              <w:keepLines w:val="0"/>
              <w:widowControl/>
              <w:suppressLineNumbers w:val="0"/>
              <w:spacing w:before="0" w:beforeAutospacing="0" w:after="0" w:afterAutospacing="0" w:line="600" w:lineRule="atLeast"/>
              <w:ind w:left="0" w:right="0"/>
              <w:jc w:val="both"/>
              <w:rPr>
                <w:rFonts w:hint="default" w:ascii="Wingdings" w:hAnsi="Wingdings" w:cs="Wingdings"/>
                <w:sz w:val="21"/>
                <w:szCs w:val="21"/>
              </w:rPr>
            </w:pPr>
            <w:r>
              <w:rPr>
                <w:rFonts w:hint="eastAsia" w:ascii="仿宋" w:hAnsi="仿宋" w:eastAsia="仿宋" w:cs="仿宋"/>
                <w:caps w:val="0"/>
                <w:color w:val="0000FF"/>
                <w:spacing w:val="0"/>
                <w:sz w:val="30"/>
                <w:szCs w:val="30"/>
                <w:u w:val="single"/>
              </w:rPr>
              <w:t>F855655F54ECDA63CBBD0048F6C15.html</w:t>
            </w:r>
          </w:p>
        </w:tc>
      </w:tr>
    </w:tbl>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771E0"/>
    <w:rsid w:val="722771E0"/>
    <w:rsid w:val="77154E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2018-01-22T01:56:00Z</dcterms:created>
  <dc:creator>qian</dc:creator>
  <cp:lastModifiedBy>qian</cp:lastModifiedBy>
  <dcterms:modified xsi:type="dcterms:W3CDTF">2018-01-22T02:07:41Z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